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5647" w14:textId="77777777" w:rsidR="0004140A" w:rsidRPr="0004140A" w:rsidRDefault="0004140A" w:rsidP="0004140A">
      <w:pPr>
        <w:pStyle w:val="Title"/>
        <w:rPr>
          <w:rFonts w:eastAsia="Times New Roman"/>
          <w:lang w:eastAsia="en-IN"/>
        </w:rPr>
      </w:pPr>
      <w:r w:rsidRPr="0004140A">
        <w:rPr>
          <w:rFonts w:eastAsia="Times New Roman"/>
          <w:lang w:eastAsia="en-IN"/>
        </w:rPr>
        <w:t>Cyber Security Market Is Booming Worldwide 2024-2031</w:t>
      </w:r>
    </w:p>
    <w:p w14:paraId="3994CE45" w14:textId="77777777" w:rsidR="009F5DEA" w:rsidRDefault="009F5DEA"/>
    <w:p w14:paraId="4434AA6D" w14:textId="77777777" w:rsidR="0004140A" w:rsidRDefault="0004140A"/>
    <w:p w14:paraId="1FB040EC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Cyber Security Market size was valued at USD 150.02 Billion in 2022 poised to grow from USD 168.04 Billion in 2023 to USD 452.08 Billion by 2031, growing at a CAGR of 13.38% in the forecast period (2024-2031).</w:t>
      </w:r>
    </w:p>
    <w:p w14:paraId="47B75375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5F099268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The Research report on Cyber Security Market presents a complete judgment of the market through strategic insights on future trends, growth factors, supplier landscape, demand landscape, Y-o-Y growth rate, CAGR, pricing analysis. It also provides and a lot of business matrices including Porters Five Forces Analysis, PESTLE Analysis, Value Chain Analysis, 4 Ps' Analysis, Market Attractiveness Analysis, BPS Analysis, Ecosystem Analysis.</w:t>
      </w:r>
    </w:p>
    <w:p w14:paraId="0D4296FF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4EA767BD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Request for Sample Copy of this Global Cyber Security Market: </w:t>
      </w:r>
      <w:hyperlink r:id="rId5" w:history="1"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https://www.skyquestt.com/s</w:t>
        </w:r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a</w:t>
        </w:r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mple</w:t>
        </w:r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-</w:t>
        </w:r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request/cyber-security-market</w:t>
        </w:r>
      </w:hyperlink>
    </w:p>
    <w:p w14:paraId="074392DB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</w: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Segmental Analysis</w:t>
      </w:r>
    </w:p>
    <w:p w14:paraId="4665A331" w14:textId="77777777" w:rsidR="0004140A" w:rsidRPr="0004140A" w:rsidRDefault="0004140A" w:rsidP="0004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Component</w:t>
      </w:r>
    </w:p>
    <w:p w14:paraId="44325B27" w14:textId="77777777" w:rsidR="0004140A" w:rsidRPr="0004140A" w:rsidRDefault="0004140A" w:rsidP="000414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Hardware, Software, and Services</w:t>
      </w:r>
    </w:p>
    <w:p w14:paraId="5ADFC487" w14:textId="77777777" w:rsidR="0004140A" w:rsidRPr="0004140A" w:rsidRDefault="0004140A" w:rsidP="0004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Organization Outlook</w:t>
      </w:r>
    </w:p>
    <w:p w14:paraId="55835552" w14:textId="77777777" w:rsidR="0004140A" w:rsidRPr="0004140A" w:rsidRDefault="0004140A" w:rsidP="000414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Large Enterprises, and SMEs</w:t>
      </w:r>
    </w:p>
    <w:p w14:paraId="2A6D024F" w14:textId="77777777" w:rsidR="0004140A" w:rsidRPr="0004140A" w:rsidRDefault="0004140A" w:rsidP="00041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Type Outlook</w:t>
      </w:r>
    </w:p>
    <w:p w14:paraId="32FE4A2C" w14:textId="77777777" w:rsidR="0004140A" w:rsidRPr="0004140A" w:rsidRDefault="0004140A" w:rsidP="000414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Network Security, Endpoint Security, Application Security, Cloud Security, and Others</w:t>
      </w:r>
    </w:p>
    <w:p w14:paraId="607039AC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4C616475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Market Dynamics</w:t>
      </w:r>
    </w:p>
    <w:p w14:paraId="4F57C8B3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Cyber Security Market Drivers</w:t>
      </w:r>
    </w:p>
    <w:p w14:paraId="75BB5FF4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Increased Use of Target-Based Cyberattacks </w:t>
      </w:r>
    </w:p>
    <w:p w14:paraId="305D072E" w14:textId="77777777" w:rsidR="0004140A" w:rsidRPr="0004140A" w:rsidRDefault="0004140A" w:rsidP="00041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The frequency and sophistication of cyberattacks have increased dramatically over the past ten years, which is a major factor driving the expansion of the cybersecurity market. Businesses everywhere are devoting more resources to advanced information security technology innovation </w:t>
      </w:r>
      <w:proofErr w:type="gramStart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in order to</w:t>
      </w:r>
      <w:proofErr w:type="gramEnd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 tighten their security infrastructures amid the growing threat landscape. </w:t>
      </w:r>
    </w:p>
    <w:p w14:paraId="7BE94D25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404171B0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Want to customize this report? Ask </w:t>
      </w:r>
      <w:proofErr w:type="gramStart"/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here :</w:t>
      </w:r>
      <w:proofErr w:type="gramEnd"/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 </w:t>
      </w:r>
      <w:hyperlink r:id="rId6" w:history="1"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https://www.skyquestt.com/speak-with-analyst/cyber-security-market</w:t>
        </w:r>
      </w:hyperlink>
    </w:p>
    <w:p w14:paraId="29B3407C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5CBD9CD4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By Regions and Countries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o North America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</w:r>
      <w:proofErr w:type="spellStart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o</w:t>
      </w:r>
      <w:proofErr w:type="spellEnd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 Europe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</w:r>
      <w:proofErr w:type="spellStart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lastRenderedPageBreak/>
        <w:t>o</w:t>
      </w:r>
      <w:proofErr w:type="spellEnd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 Asia-Pacific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o South America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o Middle East &amp; Africa</w:t>
      </w:r>
    </w:p>
    <w:p w14:paraId="71364B4D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</w: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 xml:space="preserve">Following are the players </w:t>
      </w:r>
      <w:proofErr w:type="spellStart"/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analyzed</w:t>
      </w:r>
      <w:proofErr w:type="spellEnd"/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 xml:space="preserve"> in the </w:t>
      </w:r>
      <w:proofErr w:type="gramStart"/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report</w:t>
      </w:r>
      <w:proofErr w:type="gramEnd"/>
    </w:p>
    <w:p w14:paraId="4AF3C474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IBM (US) </w:t>
      </w:r>
    </w:p>
    <w:p w14:paraId="04C47D2C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Cisco (US) </w:t>
      </w:r>
    </w:p>
    <w:p w14:paraId="0102AB19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Microsoft (US) </w:t>
      </w:r>
    </w:p>
    <w:p w14:paraId="5E6A94B4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Palo Alto Networks (US) </w:t>
      </w:r>
    </w:p>
    <w:p w14:paraId="39D7A731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Fortinet (US) </w:t>
      </w:r>
    </w:p>
    <w:p w14:paraId="2135D406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Check Point (US) </w:t>
      </w:r>
    </w:p>
    <w:p w14:paraId="2913C020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proofErr w:type="spellStart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Trellix</w:t>
      </w:r>
      <w:proofErr w:type="spellEnd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 (US) </w:t>
      </w:r>
    </w:p>
    <w:p w14:paraId="75BE4C36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Trend Micro (Japan) </w:t>
      </w:r>
    </w:p>
    <w:p w14:paraId="207EA37D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Rapid7 (US) </w:t>
      </w:r>
    </w:p>
    <w:p w14:paraId="3552AD3B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Micro Focus (Open text) (UK) </w:t>
      </w:r>
    </w:p>
    <w:p w14:paraId="3FCC7A77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AWS (US) </w:t>
      </w:r>
    </w:p>
    <w:p w14:paraId="2282EC64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Oracle (US) </w:t>
      </w:r>
    </w:p>
    <w:p w14:paraId="13B384E8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Accenture (Ireland) </w:t>
      </w:r>
    </w:p>
    <w:p w14:paraId="68FE842E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CyberArk (US) </w:t>
      </w:r>
    </w:p>
    <w:p w14:paraId="0721D8FE" w14:textId="77777777" w:rsidR="0004140A" w:rsidRPr="0004140A" w:rsidRDefault="0004140A" w:rsidP="00041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proofErr w:type="spellStart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SentinelOne</w:t>
      </w:r>
      <w:proofErr w:type="spellEnd"/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 xml:space="preserve"> (US)</w:t>
      </w:r>
    </w:p>
    <w:p w14:paraId="388E3A8D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4369087E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View report summary and Table of Contents (TOC): </w:t>
      </w:r>
      <w:hyperlink r:id="rId7" w:history="1">
        <w:r w:rsidRPr="0004140A">
          <w:rPr>
            <w:rFonts w:ascii="Verdana" w:eastAsia="Times New Roman" w:hAnsi="Verdana" w:cs="Times New Roman"/>
            <w:b/>
            <w:bCs/>
            <w:color w:val="0000FF"/>
            <w:kern w:val="0"/>
            <w:sz w:val="17"/>
            <w:szCs w:val="17"/>
            <w:u w:val="single"/>
            <w:lang w:eastAsia="en-IN"/>
            <w14:ligatures w14:val="none"/>
          </w:rPr>
          <w:t>https://www.skyquestt.com/report/cyber-security-market</w:t>
        </w:r>
      </w:hyperlink>
    </w:p>
    <w:p w14:paraId="2F779860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 </w:t>
      </w:r>
    </w:p>
    <w:p w14:paraId="1A1D631C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n-IN"/>
          <w14:ligatures w14:val="none"/>
        </w:rPr>
        <w:t>The research provides answers to the following key questions:</w:t>
      </w:r>
    </w:p>
    <w:p w14:paraId="746FE08A" w14:textId="77777777" w:rsidR="0004140A" w:rsidRPr="0004140A" w:rsidRDefault="0004140A" w:rsidP="000414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</w:pP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t>• What is the estimated growth rate of the market for the forecast period 2024-2031? What will be the market size during the estimated period?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• What are the key driving forces responsible for shaping the fate of the Cyber Security Market during the forecast period?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• Who are the major market vendors and what are the winning strategies that have helped them occupy a strong foothold in the Cyber Security Market?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• What are the prominent market trends influencing the development of the Cyber Security Market across different regions?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• What are the major threats and challenges likely to act as a barrier in the growth of the Cyber Security Market?</w:t>
      </w:r>
      <w:r w:rsidRPr="0004140A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n-IN"/>
          <w14:ligatures w14:val="none"/>
        </w:rPr>
        <w:br/>
        <w:t>• What are the major opportunities the market leaders can rely on to gain success and profitability?</w:t>
      </w:r>
    </w:p>
    <w:p w14:paraId="0C73AB03" w14:textId="77777777" w:rsidR="0004140A" w:rsidRDefault="0004140A"/>
    <w:sectPr w:rsidR="00041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D08"/>
    <w:multiLevelType w:val="multilevel"/>
    <w:tmpl w:val="4648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A7A3C"/>
    <w:multiLevelType w:val="multilevel"/>
    <w:tmpl w:val="3F7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47F6A"/>
    <w:multiLevelType w:val="multilevel"/>
    <w:tmpl w:val="D46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31958">
    <w:abstractNumId w:val="0"/>
  </w:num>
  <w:num w:numId="2" w16cid:durableId="1360354918">
    <w:abstractNumId w:val="2"/>
  </w:num>
  <w:num w:numId="3" w16cid:durableId="74823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A"/>
    <w:rsid w:val="0004140A"/>
    <w:rsid w:val="000446A2"/>
    <w:rsid w:val="009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3800"/>
  <w15:chartTrackingRefBased/>
  <w15:docId w15:val="{A0CE2D24-A128-4966-A17C-9856015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414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140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14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yquestt.com/report/cyber-security-mar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yquestt.com/speak-with-analyst/cyber-security-market" TargetMode="External"/><Relationship Id="rId5" Type="http://schemas.openxmlformats.org/officeDocument/2006/relationships/hyperlink" Target="https://www.skyquestt.com/sample-request/cyber-security-mark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Patil</dc:creator>
  <cp:keywords/>
  <dc:description/>
  <cp:lastModifiedBy>Sumit Patil</cp:lastModifiedBy>
  <cp:revision>1</cp:revision>
  <dcterms:created xsi:type="dcterms:W3CDTF">2024-10-22T12:26:00Z</dcterms:created>
  <dcterms:modified xsi:type="dcterms:W3CDTF">2024-10-22T13:35:00Z</dcterms:modified>
</cp:coreProperties>
</file>